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B4" w:rsidRPr="008D09CA" w:rsidRDefault="00DD23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09CA">
        <w:rPr>
          <w:rFonts w:ascii="Times New Roman" w:hAnsi="Times New Roman" w:cs="Times New Roman"/>
          <w:b/>
          <w:sz w:val="28"/>
          <w:szCs w:val="28"/>
        </w:rPr>
        <w:t>Раздел III. Порядок и условия предоставления медицинской</w:t>
      </w:r>
    </w:p>
    <w:p w:rsidR="00DD23B4" w:rsidRPr="008D09CA" w:rsidRDefault="00DD23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gramEnd"/>
      <w:r w:rsidRPr="008D09CA">
        <w:rPr>
          <w:rFonts w:ascii="Times New Roman" w:hAnsi="Times New Roman" w:cs="Times New Roman"/>
          <w:b/>
          <w:sz w:val="28"/>
          <w:szCs w:val="28"/>
        </w:rPr>
        <w:t xml:space="preserve"> в рамках Программы</w:t>
      </w:r>
    </w:p>
    <w:bookmarkEnd w:id="0"/>
    <w:p w:rsidR="00DD23B4" w:rsidRPr="008D09CA" w:rsidRDefault="00DD2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 xml:space="preserve">Понятие "лечащий врач" используется в Программе в значении, определенном в Федеральном </w:t>
      </w:r>
      <w:hyperlink r:id="rId4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от 21 ноября 2011 г. N 323-ФЗ "Об основах охраны здоровья граждан в Российской Федерации".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2. Условия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 xml:space="preserve">Гражданин при получении медицинской помощи имеет право на выбор медицинской организации и на выбор врача с учетом согласия врача в соответствии с </w:t>
      </w:r>
      <w:hyperlink r:id="rId5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 осуществляется: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 xml:space="preserve">Для получения специализированной медицинской помощи в плановой </w:t>
      </w:r>
      <w:r w:rsidRPr="008D09CA">
        <w:rPr>
          <w:rFonts w:ascii="Times New Roman" w:hAnsi="Times New Roman" w:cs="Times New Roman"/>
          <w:sz w:val="28"/>
          <w:szCs w:val="28"/>
        </w:rPr>
        <w:lastRenderedPageBreak/>
        <w:t>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Министерством здравоохранения Российской Федерации.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 xml:space="preserve">Право на внеочередное оказание медицинской помощи в соответствии со </w:t>
      </w:r>
      <w:hyperlink r:id="rId6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статьями 14</w:t>
        </w:r>
      </w:hyperlink>
      <w:r w:rsidRPr="008D09CA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N 5-ФЗ "О ветеранах", </w:t>
      </w:r>
      <w:hyperlink r:id="rId9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статьей 23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Федерального закона от 20 июля 2012 г. N 125-ФЗ "О донорстве крови и ее компонентов" имеют следующие категории граждан: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инвалиды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войны;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ветераны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боевых действий из числа лиц, указанных в </w:t>
      </w:r>
      <w:hyperlink r:id="rId10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8D09CA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N 5-ФЗ "О ветеранах";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>, награжденные знаком "Жителю блокадного Ленинграда";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>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члены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семей погибших (умерших) инвалидов войны, участников Великой Отечественной войны и ветеранов боевых действий;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награжденные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знаком "Почетный донор Российской Федерации";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категории граждан в соответствии с законодательством Российской Федерации.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Внеочередное оказание медицинской помощи отдельным категориям граждан организуется в медицинских организациях при оказании амбулаторно-поликлинической, стационарной медицинской помощи.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В отделениях стационара,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lastRenderedPageBreak/>
        <w:t>Внеочередное оказание медицинской помощи осуществляется при предъявлении удостоверения единого образца, установленного федеральным законодательством, и при наличии медицинских показаний.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При наличии медицинских показаний для проведения дополнительного медицинского обследования гражданина или лабораторных исследований при оказании амбулаторно-поликлинической помощи медицинскими организациями организуется внеочередной прием отдельных категорий граждан необходимыми врачами-специалистами или проведение необходимых лабораторных исследований. В случае необходимости оказания отдельным категориям граждан стационарной медицинской помощи врач амбулаторно-поликлинического учреждения выдает направление на госпитализацию с пометкой о льготе. Медицинские организации, оказывающие стационарную медицинскую помощь, организуют данным гражданам внеочередную плановую госпитализацию.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4. Порядок обеспечения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по медицинским показаниям в соответствии с порядками и стандартами медицинской помощи с учетом видов, условий и форм оказания медицинской помощи.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 обеспечение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осуществляется бесплатно.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 xml:space="preserve"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</w:t>
      </w:r>
      <w:hyperlink r:id="rId12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от 12 апреля 2010 г. N 61-ФЗ "Об обращении лекарственных средств".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 xml:space="preserve">Обеспечение граждан лекарственными препаратами, медицинскими изделиями, специализированными продуктами лечебного питания при оказании первичной медико-санитарной помощи в амбулаторных условиях </w:t>
      </w:r>
      <w:r w:rsidRPr="008D09CA">
        <w:rPr>
          <w:rFonts w:ascii="Times New Roman" w:hAnsi="Times New Roman" w:cs="Times New Roman"/>
          <w:sz w:val="28"/>
          <w:szCs w:val="28"/>
        </w:rPr>
        <w:lastRenderedPageBreak/>
        <w:t>производится за счет личных средств граждан, за исключением случаев, когда: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 xml:space="preserve">гражданин имеет право на получение государственной социальной помощи в виде набора социальных услуг в соответствии с Федеральным </w:t>
      </w:r>
      <w:hyperlink r:id="rId13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от 17 июля 1999 г.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рамках </w:t>
      </w:r>
      <w:hyperlink r:id="rId14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распоряжением Правительства Российской Федерации от 30 декабря 2014 г. N 2782-р,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перечня медицинских изделий, утвержденных </w:t>
      </w:r>
      <w:hyperlink r:id="rId15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2014 г. N 2762-р, </w:t>
      </w:r>
      <w:hyperlink r:id="rId16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специализированных продуктов лечебного питания для детей-инвалидов, утвержденного распоряжением Правительства Российской Федерации от 14 октября 2015 г. N 2052-р;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 xml:space="preserve"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по рецептам врача с 50-процентной скидкой в соответствии с </w:t>
      </w:r>
      <w:hyperlink r:id="rId17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в </w:t>
      </w:r>
      <w:hyperlink r:id="rId18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приложении 4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 xml:space="preserve"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</w:t>
      </w:r>
      <w:r w:rsidRPr="008D09CA">
        <w:rPr>
          <w:rFonts w:ascii="Times New Roman" w:hAnsi="Times New Roman" w:cs="Times New Roman"/>
          <w:sz w:val="28"/>
          <w:szCs w:val="28"/>
        </w:rPr>
        <w:lastRenderedPageBreak/>
        <w:t xml:space="preserve">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50-процентной скидкой, осуществляется в соответствии с </w:t>
      </w:r>
      <w:hyperlink r:id="rId19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аптечными организациями, включенными в перечень пунктов отпуска по обеспечению льготных категорий граждан (далее - Перечень пунктов отпуска). Перечень пунктов отпуска утверждается нормативным правовым актом Министерства по результатам проводимого Министерством отбора. Информация о Перечне пунктов отпуска размещается на официальном сайте Министерства.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Медицинские организации, участвующие в реализации Программы, при оказании медицинской помощи обеспечиваются донорской кровью и (или) ее компонентами для клинического использования безвозмездно в порядке, установленном Министерством. Трансфузия (переливание) донорской крови и (или) ее компонентов гражданину (реципиенту) производится без взимания платы, только по медицинским показаниям в лечебных целях медицинскими организациями, имеющими лицензию на медицинскую деятельность с указанием трансфузиологии в качестве составляющей части лицензируемого вида деятельности.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5.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Порядок и условия предоставления указанной субсидии, а также порядок возврата и контроля за целевым и эффективным использованием субсидии на возмещение затрат устанавливаются нормативным правовым актом Правительства Пермского края.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6. 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по формированию здорового образа жизни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профилактические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медицинские осмотры определенных групп взрослого </w:t>
      </w:r>
      <w:r w:rsidRPr="008D09CA">
        <w:rPr>
          <w:rFonts w:ascii="Times New Roman" w:hAnsi="Times New Roman" w:cs="Times New Roman"/>
          <w:sz w:val="28"/>
          <w:szCs w:val="28"/>
        </w:rPr>
        <w:lastRenderedPageBreak/>
        <w:t>населения (в возрасте 18 лет и старше);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осмотры несовершеннолетних и обучающихся в образовательных организациях по очной форме: профилактические, предварительные при поступлении в образовательные организации, периодические;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предварительные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и периодические медицинские осмотры (обследования) педагогических работников муниципальных и государственных организаций; медицинских работников государственных учреждений здравоохранения Пермского края;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предварительные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медицинские осмотры при поступлении на работу в государственные и муниципальные учреждения Пермского края;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консультирование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по вопросам сохранения и укрепления здоровья, профилактике заболеваний;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по предупреждению абортов;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>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>, направленные на раннюю профилактику беременности и абортов у несовершеннолетних;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диспансерное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наблюдение несовершеннолетних, женщин в период беременности и лиц с хроническими заболеваниями;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диспансеризация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Диспансеризация проводится в отношении: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групп взрослого населения;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>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>-сирот, пребывающих в стационарных учреждениях, и детей, находящихся в трудной жизненной ситуации;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Условия, сроки проведения диспансеризации указанных категорий граждан на территории Пермского края утверждаются Министерством в соответствии с порядками оказания медицинской помощи.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7.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 в стационарных условиях и в условиях дневного стационара не должны превышать 30 дней со дня выдачи лечащим врачом направления на госпитализацию;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проведения консультаций врачей-специалистов не должны превышать 10 рабочих дней со дня обращения;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приема врачами-терапевтами участковыми, врачами общей практики (семейными врачами), врачами-педиатрами не должны превышать </w:t>
      </w:r>
      <w:r w:rsidRPr="008D09CA">
        <w:rPr>
          <w:rFonts w:ascii="Times New Roman" w:hAnsi="Times New Roman" w:cs="Times New Roman"/>
          <w:sz w:val="28"/>
          <w:szCs w:val="28"/>
        </w:rPr>
        <w:lastRenderedPageBreak/>
        <w:t>24 часов с момента обращения;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10 рабочих дней со дня назначения;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20 рабочих дней со дня назначения;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ожидания оказания первичной медико-санитарной помощи в неотложной форме - не более 2 часов с момента обращения.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 xml:space="preserve">Срок ожидания плановой высокотехнологичной медицинской помощи в стационарных условиях, оказываемой медицинскими организациями Пермского края в соответствии с </w:t>
      </w:r>
      <w:hyperlink r:id="rId20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приложения 2 к Программе, - не более 2 месяцев со дня получения направления на госпитализацию.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8. Условия пребывания в медицинских организациях при оказании медицинской помощи в стационарных условиях.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В условиях дневного стационара в медицинской организации пациенту предоставляются: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койко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>-место в палате;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лечебно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>-диагностические и реабилитационные мероприятия;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врачей-специалистов по показаниям.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В круглосуточном стационаре пациенту предоставляются: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койка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в палате на два и более места;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койка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в маломестных палатах (боксах) при медицинских и (или) эпидемиологических показаниях, </w:t>
      </w:r>
      <w:hyperlink r:id="rId21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здравоохранения и социального развития Российской Федерации от 15 мая 2012 г. N 535-н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lastRenderedPageBreak/>
        <w:t>При оказании медицинской помощи детям в стационарных условиях: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право одному из родителей, иному члену семьи или иному законному представителю по их усмотрению находиться вместе с больным ребенком в медицинской организации в течение всего периода лечения независимо от возраста ребенка;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9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D09CA">
        <w:rPr>
          <w:rFonts w:ascii="Times New Roman" w:hAnsi="Times New Roman" w:cs="Times New Roman"/>
          <w:sz w:val="28"/>
          <w:szCs w:val="28"/>
        </w:rPr>
        <w:t xml:space="preserve">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для ухода, предоставляются спальное место и питание.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Проведение диагностических, лечебных мероприятий начинается в день госпитализации после осмотра пациента лечащим врачом.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Обеспечение лечебным питанием граждан, находящихся на лечении в медицинских организациях в стационарных условиях, осуществляется по нормам, утвержденным Министерством здравоохранения Российской Федерации.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Порядки предоставления медицинской помощи в стационарных условиях в плановой форме установлены нормативными правовыми актами Министерства.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9. Условия предоставления детям-сиротам и детям, оставшимся без попечения родителей, в случае выявления у них заболеваний медицинской помощи всех видов медицинской помощи, включая специализированную, в том числе высокотехнологичную, медицинскую помощь, утверждаются нормативным правовым актом Министерства.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10.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Транспортировка осуществляется медицинской организацией, оказывающей медицинскую помощь пациенту в стационарных условиях, в соответствии с порядком, утвержденным нормативным правовым актом Министерства.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>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 осуществляются в порядке, утвержденном нормативным правовым актом Министерства.</w:t>
      </w:r>
    </w:p>
    <w:p w:rsidR="00DD23B4" w:rsidRPr="008D09CA" w:rsidRDefault="00DD2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2" w:history="1">
        <w:r w:rsidRPr="008D09CA">
          <w:rPr>
            <w:rFonts w:ascii="Times New Roman" w:hAnsi="Times New Roman" w:cs="Times New Roman"/>
            <w:color w:val="0000FF"/>
            <w:sz w:val="28"/>
            <w:szCs w:val="28"/>
          </w:rPr>
          <w:t>Критерии</w:t>
        </w:r>
      </w:hyperlink>
      <w:r w:rsidRPr="008D09CA">
        <w:rPr>
          <w:rFonts w:ascii="Times New Roman" w:hAnsi="Times New Roman" w:cs="Times New Roman"/>
          <w:sz w:val="28"/>
          <w:szCs w:val="28"/>
        </w:rPr>
        <w:t xml:space="preserve"> доступности и качества медицинской помощи установлены в приложении 5 к Программе.</w:t>
      </w:r>
    </w:p>
    <w:p w:rsidR="00DD23B4" w:rsidRPr="008D09CA" w:rsidRDefault="00DD2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3B4" w:rsidRPr="008D09CA" w:rsidRDefault="008D09CA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D23B4" w:rsidRPr="008D09CA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="00DD23B4" w:rsidRPr="008D09CA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DD23B4" w:rsidRPr="008D09CA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="00DD23B4" w:rsidRPr="008D09CA">
        <w:rPr>
          <w:rFonts w:ascii="Times New Roman" w:hAnsi="Times New Roman" w:cs="Times New Roman"/>
          <w:sz w:val="28"/>
          <w:szCs w:val="28"/>
        </w:rPr>
        <w:br/>
      </w:r>
    </w:p>
    <w:p w:rsidR="00F603DD" w:rsidRPr="008D09CA" w:rsidRDefault="00F603DD">
      <w:pPr>
        <w:rPr>
          <w:rFonts w:ascii="Times New Roman" w:hAnsi="Times New Roman" w:cs="Times New Roman"/>
          <w:sz w:val="28"/>
          <w:szCs w:val="28"/>
        </w:rPr>
      </w:pPr>
    </w:p>
    <w:sectPr w:rsidR="00F603DD" w:rsidRPr="008D09CA" w:rsidSect="008D09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B4"/>
    <w:rsid w:val="008D09CA"/>
    <w:rsid w:val="00DD23B4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F3F1F-78A4-41C6-AD8B-1CBD055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B2FCE94119CFC63902292589B95D20979D5A786B874426C6B198XFn9I" TargetMode="External"/><Relationship Id="rId13" Type="http://schemas.openxmlformats.org/officeDocument/2006/relationships/hyperlink" Target="consultantplus://offline/ref=FFD851407232027566E6B3B2FCE94119CFC63903292989B95D20979D5AX7n8I" TargetMode="External"/><Relationship Id="rId18" Type="http://schemas.openxmlformats.org/officeDocument/2006/relationships/hyperlink" Target="consultantplus://offline/ref=FFD851407232027566E6B3A4FF851C12C6C56E08202D80EF037FCCC00D7161D003699FF3DDF0E7C596FDD6X1n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D851407232027566E6B3B2FCE94119CFCD31052C2B89B95D20979D5A786B874426C6B199FDE6C5X9nAI" TargetMode="External"/><Relationship Id="rId7" Type="http://schemas.openxmlformats.org/officeDocument/2006/relationships/hyperlink" Target="consultantplus://offline/ref=FFD851407232027566E6B3B2FCE94119CFC63902292589B95D20979D5A786B874426C6B199XFnFI" TargetMode="External"/><Relationship Id="rId12" Type="http://schemas.openxmlformats.org/officeDocument/2006/relationships/hyperlink" Target="consultantplus://offline/ref=FFD851407232027566E6B3B2FCE94119CFC631022D2F89B95D20979D5AX7n8I" TargetMode="External"/><Relationship Id="rId17" Type="http://schemas.openxmlformats.org/officeDocument/2006/relationships/hyperlink" Target="consultantplus://offline/ref=FFD851407232027566E6B3B2FCE94119CDCB35052A26D4B355799B9FX5nD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D851407232027566E6B3B2FCE94119CFC637002D2F89B95D20979D5A786B874426C6B199FDE6C5X9n5I" TargetMode="External"/><Relationship Id="rId20" Type="http://schemas.openxmlformats.org/officeDocument/2006/relationships/hyperlink" Target="consultantplus://offline/ref=FFD851407232027566E6B3A4FF851C12C6C56E08202D80EF037FCCC00D7161D003699FF3DDF0E7C592F8D0X1n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851407232027566E6B3B2FCE94119CFC63902292589B95D20979D5A786B874426C6B2X9n1I" TargetMode="External"/><Relationship Id="rId11" Type="http://schemas.openxmlformats.org/officeDocument/2006/relationships/hyperlink" Target="consultantplus://offline/ref=FFD851407232027566E6B3B2FCE94119CFC63902292589B95D20979D5A786B874426C6B199FDE6C6X9n7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FD851407232027566E6B3B2FCE94119CFCD30072B2C89B95D20979D5AX7n8I" TargetMode="External"/><Relationship Id="rId15" Type="http://schemas.openxmlformats.org/officeDocument/2006/relationships/hyperlink" Target="consultantplus://offline/ref=FFD851407232027566E6B3B2FCE94119CFC933072B2889B95D20979D5AX7n8I" TargetMode="External"/><Relationship Id="rId23" Type="http://schemas.openxmlformats.org/officeDocument/2006/relationships/hyperlink" Target="consultantplus://offline/ref=FFD851407232027566E6B3A4FF851C12C6C56E08202D80EF037FCCC00D7161D003699FF3DDF0E7C593FED1X1n3I" TargetMode="External"/><Relationship Id="rId10" Type="http://schemas.openxmlformats.org/officeDocument/2006/relationships/hyperlink" Target="consultantplus://offline/ref=FFD851407232027566E6B3B2FCE94119CFC63902292589B95D20979D5A786B874426C6B199FDE5CCX9n5I" TargetMode="External"/><Relationship Id="rId19" Type="http://schemas.openxmlformats.org/officeDocument/2006/relationships/hyperlink" Target="consultantplus://offline/ref=FFD851407232027566E6B3B2FCE94119CFC63407212E89B95D20979D5AX7n8I" TargetMode="External"/><Relationship Id="rId4" Type="http://schemas.openxmlformats.org/officeDocument/2006/relationships/hyperlink" Target="consultantplus://offline/ref=FFD851407232027566E6B3B2FCE94119CFC63103202589B95D20979D5AX7n8I" TargetMode="External"/><Relationship Id="rId9" Type="http://schemas.openxmlformats.org/officeDocument/2006/relationships/hyperlink" Target="consultantplus://offline/ref=FFD851407232027566E6B3B2FCE94119CFC8330C2F2C89B95D20979D5A786B874426C6B199FDE7C2X9n4I" TargetMode="External"/><Relationship Id="rId14" Type="http://schemas.openxmlformats.org/officeDocument/2006/relationships/hyperlink" Target="consultantplus://offline/ref=FFD851407232027566E6B3B2FCE94119CFC933072B2D89B95D20979D5A786B874426C6B199FFE5C5X9nBI" TargetMode="External"/><Relationship Id="rId22" Type="http://schemas.openxmlformats.org/officeDocument/2006/relationships/hyperlink" Target="consultantplus://offline/ref=FFD851407232027566E6B3A4FF851C12C6C56E08202D80EF037FCCC00D7161D003699FF3DDF0E7C594F8D3X1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2016-03-02T08:39:00Z</dcterms:created>
  <dcterms:modified xsi:type="dcterms:W3CDTF">2016-03-02T10:13:00Z</dcterms:modified>
</cp:coreProperties>
</file>